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8F49" w14:textId="77777777" w:rsidR="00587A7A" w:rsidRDefault="00C92D04">
      <w:pPr>
        <w:pStyle w:val="Heading1"/>
        <w:keepNext w:val="0"/>
        <w:keepLines w:val="0"/>
        <w:pBdr>
          <w:bottom w:val="none" w:sz="0" w:space="15" w:color="auto"/>
        </w:pBdr>
        <w:spacing w:before="480" w:line="240" w:lineRule="auto"/>
        <w:jc w:val="center"/>
        <w:rPr>
          <w:rFonts w:ascii="Work Sans SemiBold" w:eastAsia="Work Sans SemiBold" w:hAnsi="Work Sans SemiBold" w:cs="Work Sans SemiBold"/>
          <w:color w:val="C42130"/>
          <w:sz w:val="20"/>
          <w:szCs w:val="20"/>
          <w:u w:val="single"/>
        </w:rPr>
      </w:pPr>
      <w:bookmarkStart w:id="0" w:name="_rh7gkv7jhnf" w:colFirst="0" w:colLast="0"/>
      <w:bookmarkEnd w:id="0"/>
      <w:r>
        <w:rPr>
          <w:rFonts w:ascii="Work Sans SemiBold" w:eastAsia="Work Sans SemiBold" w:hAnsi="Work Sans SemiBold" w:cs="Work Sans SemiBold"/>
          <w:color w:val="4C4D4E"/>
          <w:sz w:val="44"/>
          <w:szCs w:val="44"/>
        </w:rPr>
        <w:t>Pilot of literacy and numeracy standards</w:t>
      </w:r>
    </w:p>
    <w:p w14:paraId="76BC9C03" w14:textId="77777777" w:rsidR="00587A7A" w:rsidRDefault="00C92D04">
      <w:pPr>
        <w:spacing w:before="240" w:after="320" w:line="240" w:lineRule="auto"/>
        <w:rPr>
          <w:rFonts w:ascii="Work Sans" w:eastAsia="Work Sans" w:hAnsi="Work Sans" w:cs="Work Sans"/>
          <w:color w:val="4C4D4E"/>
          <w:sz w:val="24"/>
          <w:szCs w:val="24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>This year</w:t>
      </w: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, </w:t>
      </w:r>
      <w:proofErr w:type="spellStart"/>
      <w:r>
        <w:rPr>
          <w:rFonts w:ascii="Work Sans" w:eastAsia="Work Sans" w:hAnsi="Work Sans" w:cs="Work Sans"/>
          <w:color w:val="4C4D4E"/>
          <w:sz w:val="24"/>
          <w:szCs w:val="24"/>
        </w:rPr>
        <w:t>Ōtūmoetai</w:t>
      </w:r>
      <w:proofErr w:type="spellEnd"/>
      <w:r>
        <w:rPr>
          <w:rFonts w:ascii="Work Sans" w:eastAsia="Work Sans" w:hAnsi="Work Sans" w:cs="Work Sans"/>
          <w:color w:val="4C4D4E"/>
          <w:sz w:val="24"/>
          <w:szCs w:val="24"/>
        </w:rPr>
        <w:t xml:space="preserve"> College (ŌTC) is supporting the Ministry of Education and NZQA to pilot the new foundational literacy and numeracy standards.</w:t>
      </w:r>
    </w:p>
    <w:p w14:paraId="3CBA1DA5" w14:textId="77777777" w:rsidR="00587A7A" w:rsidRDefault="00C92D04">
      <w:pPr>
        <w:spacing w:before="240" w:after="320"/>
        <w:rPr>
          <w:rFonts w:ascii="Work Sans" w:eastAsia="Work Sans" w:hAnsi="Work Sans" w:cs="Work Sans"/>
          <w:color w:val="4C4D4E"/>
          <w:sz w:val="24"/>
          <w:szCs w:val="24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yellow"/>
        </w:rPr>
        <w:t>Year 10 students (except for those in Supported Learning and Special Needs) will be piloting the following three stand</w:t>
      </w:r>
      <w:r>
        <w:rPr>
          <w:rFonts w:ascii="Work Sans" w:eastAsia="Work Sans" w:hAnsi="Work Sans" w:cs="Work Sans"/>
          <w:color w:val="4C4D4E"/>
          <w:sz w:val="24"/>
          <w:szCs w:val="24"/>
          <w:highlight w:val="yellow"/>
        </w:rPr>
        <w:t>ards</w:t>
      </w:r>
      <w:r>
        <w:rPr>
          <w:rFonts w:ascii="Work Sans" w:eastAsia="Work Sans" w:hAnsi="Work Sans" w:cs="Work Sans"/>
          <w:color w:val="4C4D4E"/>
          <w:sz w:val="24"/>
          <w:szCs w:val="24"/>
        </w:rPr>
        <w:t>:</w:t>
      </w:r>
    </w:p>
    <w:p w14:paraId="4B1014D6" w14:textId="77777777" w:rsidR="00587A7A" w:rsidRDefault="00C92D04">
      <w:pPr>
        <w:numPr>
          <w:ilvl w:val="0"/>
          <w:numId w:val="1"/>
        </w:numPr>
        <w:spacing w:before="240"/>
        <w:rPr>
          <w:rFonts w:ascii="Work Sans" w:eastAsia="Work Sans" w:hAnsi="Work Sans" w:cs="Work Sans"/>
          <w:color w:val="4C4D4E"/>
          <w:sz w:val="24"/>
          <w:szCs w:val="24"/>
        </w:rPr>
      </w:pPr>
      <w:r>
        <w:rPr>
          <w:rFonts w:ascii="Work Sans SemiBold" w:eastAsia="Work Sans SemiBold" w:hAnsi="Work Sans SemiBold" w:cs="Work Sans SemiBold"/>
          <w:color w:val="4C4D4E"/>
          <w:sz w:val="24"/>
          <w:szCs w:val="24"/>
        </w:rPr>
        <w:t>Literacy | Reading</w:t>
      </w: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 - </w:t>
      </w:r>
      <w:r>
        <w:rPr>
          <w:rFonts w:ascii="Work Sans" w:eastAsia="Work Sans" w:hAnsi="Work Sans" w:cs="Work Sans"/>
          <w:color w:val="4C4D4E"/>
          <w:sz w:val="24"/>
          <w:szCs w:val="24"/>
          <w:shd w:val="clear" w:color="auto" w:fill="FAFAFA"/>
        </w:rPr>
        <w:t xml:space="preserve">Read written texts to understand ideas and </w:t>
      </w:r>
      <w:proofErr w:type="gramStart"/>
      <w:r>
        <w:rPr>
          <w:rFonts w:ascii="Work Sans" w:eastAsia="Work Sans" w:hAnsi="Work Sans" w:cs="Work Sans"/>
          <w:color w:val="4C4D4E"/>
          <w:sz w:val="24"/>
          <w:szCs w:val="24"/>
          <w:shd w:val="clear" w:color="auto" w:fill="FAFAFA"/>
        </w:rPr>
        <w:t>information</w:t>
      </w:r>
      <w:proofErr w:type="gramEnd"/>
    </w:p>
    <w:p w14:paraId="42FC4409" w14:textId="77777777" w:rsidR="00587A7A" w:rsidRDefault="00C92D04">
      <w:pPr>
        <w:numPr>
          <w:ilvl w:val="0"/>
          <w:numId w:val="1"/>
        </w:numPr>
        <w:rPr>
          <w:rFonts w:ascii="Work Sans" w:eastAsia="Work Sans" w:hAnsi="Work Sans" w:cs="Work Sans"/>
          <w:color w:val="4C4D4E"/>
          <w:sz w:val="24"/>
          <w:szCs w:val="24"/>
        </w:rPr>
      </w:pPr>
      <w:r>
        <w:rPr>
          <w:rFonts w:ascii="Work Sans SemiBold" w:eastAsia="Work Sans SemiBold" w:hAnsi="Work Sans SemiBold" w:cs="Work Sans SemiBold"/>
          <w:color w:val="4C4D4E"/>
          <w:sz w:val="24"/>
          <w:szCs w:val="24"/>
        </w:rPr>
        <w:t>Literacy | Writing</w:t>
      </w: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 - </w:t>
      </w:r>
      <w:r>
        <w:rPr>
          <w:rFonts w:ascii="Work Sans" w:eastAsia="Work Sans" w:hAnsi="Work Sans" w:cs="Work Sans"/>
          <w:color w:val="4C4D4E"/>
          <w:sz w:val="24"/>
          <w:szCs w:val="24"/>
          <w:shd w:val="clear" w:color="auto" w:fill="FAFAFA"/>
        </w:rPr>
        <w:t xml:space="preserve">Write texts to communicate ideas and </w:t>
      </w:r>
      <w:proofErr w:type="gramStart"/>
      <w:r>
        <w:rPr>
          <w:rFonts w:ascii="Work Sans" w:eastAsia="Work Sans" w:hAnsi="Work Sans" w:cs="Work Sans"/>
          <w:color w:val="4C4D4E"/>
          <w:sz w:val="24"/>
          <w:szCs w:val="24"/>
          <w:shd w:val="clear" w:color="auto" w:fill="FAFAFA"/>
        </w:rPr>
        <w:t>information</w:t>
      </w:r>
      <w:proofErr w:type="gramEnd"/>
    </w:p>
    <w:p w14:paraId="62CAF57E" w14:textId="77777777" w:rsidR="00587A7A" w:rsidRDefault="00C92D04">
      <w:pPr>
        <w:numPr>
          <w:ilvl w:val="0"/>
          <w:numId w:val="1"/>
        </w:numPr>
        <w:spacing w:after="320"/>
        <w:rPr>
          <w:rFonts w:ascii="Work Sans" w:eastAsia="Work Sans" w:hAnsi="Work Sans" w:cs="Work Sans"/>
          <w:color w:val="4C4D4E"/>
          <w:sz w:val="24"/>
          <w:szCs w:val="24"/>
        </w:rPr>
      </w:pPr>
      <w:r>
        <w:rPr>
          <w:rFonts w:ascii="Work Sans SemiBold" w:eastAsia="Work Sans SemiBold" w:hAnsi="Work Sans SemiBold" w:cs="Work Sans SemiBold"/>
          <w:color w:val="4C4D4E"/>
          <w:sz w:val="24"/>
          <w:szCs w:val="24"/>
        </w:rPr>
        <w:t>Numeracy</w:t>
      </w: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 - </w:t>
      </w:r>
      <w:r>
        <w:rPr>
          <w:rFonts w:ascii="Work Sans" w:eastAsia="Work Sans" w:hAnsi="Work Sans" w:cs="Work Sans"/>
          <w:color w:val="4C4D4E"/>
          <w:sz w:val="24"/>
          <w:szCs w:val="24"/>
          <w:shd w:val="clear" w:color="auto" w:fill="FAFAFA"/>
        </w:rPr>
        <w:t xml:space="preserve">Use mathematics and statistics to meet the numeracy demands of a range of </w:t>
      </w:r>
      <w:proofErr w:type="gramStart"/>
      <w:r>
        <w:rPr>
          <w:rFonts w:ascii="Work Sans" w:eastAsia="Work Sans" w:hAnsi="Work Sans" w:cs="Work Sans"/>
          <w:color w:val="4C4D4E"/>
          <w:sz w:val="24"/>
          <w:szCs w:val="24"/>
          <w:shd w:val="clear" w:color="auto" w:fill="FAFAFA"/>
        </w:rPr>
        <w:t>situations</w:t>
      </w:r>
      <w:proofErr w:type="gramEnd"/>
    </w:p>
    <w:p w14:paraId="1F38D604" w14:textId="77777777" w:rsidR="00587A7A" w:rsidRDefault="00C92D04">
      <w:pPr>
        <w:spacing w:before="240" w:after="240"/>
        <w:rPr>
          <w:rFonts w:ascii="Work Sans" w:eastAsia="Work Sans" w:hAnsi="Work Sans" w:cs="Work Sans"/>
          <w:color w:val="4C4D4E"/>
          <w:sz w:val="24"/>
          <w:szCs w:val="24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>Most Yea</w:t>
      </w:r>
      <w:r>
        <w:rPr>
          <w:rFonts w:ascii="Work Sans" w:eastAsia="Work Sans" w:hAnsi="Work Sans" w:cs="Work Sans"/>
          <w:color w:val="4C4D4E"/>
          <w:sz w:val="24"/>
          <w:szCs w:val="24"/>
        </w:rPr>
        <w:t>r 10 students are expected to be at the level these standards are set at hence our decision to pilot with our current Year 10s (and a small number of Year 9s). Doing this pilot will reduce the number of standards you will need to do next year to complete y</w:t>
      </w:r>
      <w:r>
        <w:rPr>
          <w:rFonts w:ascii="Work Sans" w:eastAsia="Work Sans" w:hAnsi="Work Sans" w:cs="Work Sans"/>
          <w:color w:val="4C4D4E"/>
          <w:sz w:val="24"/>
          <w:szCs w:val="24"/>
        </w:rPr>
        <w:t>our NCEA.</w:t>
      </w:r>
    </w:p>
    <w:p w14:paraId="627718DD" w14:textId="77777777" w:rsidR="00587A7A" w:rsidRDefault="00C92D04">
      <w:pPr>
        <w:spacing w:before="240" w:after="320"/>
        <w:rPr>
          <w:rFonts w:ascii="Work Sans" w:eastAsia="Work Sans" w:hAnsi="Work Sans" w:cs="Work Sans"/>
          <w:color w:val="4C4D4E"/>
          <w:sz w:val="26"/>
          <w:szCs w:val="26"/>
        </w:rPr>
      </w:pPr>
      <w:r>
        <w:rPr>
          <w:rFonts w:ascii="Work Sans SemiBold" w:eastAsia="Work Sans SemiBold" w:hAnsi="Work Sans SemiBold" w:cs="Work Sans SemiBold"/>
          <w:color w:val="4C4D4E"/>
          <w:sz w:val="26"/>
          <w:szCs w:val="26"/>
        </w:rPr>
        <w:t>What do you need to know about ŌTC being a pilot school?</w:t>
      </w:r>
    </w:p>
    <w:p w14:paraId="0E01C615" w14:textId="77777777" w:rsidR="00587A7A" w:rsidRDefault="00C92D04">
      <w:pPr>
        <w:numPr>
          <w:ilvl w:val="0"/>
          <w:numId w:val="3"/>
        </w:numPr>
        <w:spacing w:before="240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There will be a Common Assessment Activity (CAA) for each standard </w:t>
      </w:r>
      <w:proofErr w:type="spellStart"/>
      <w:r>
        <w:rPr>
          <w:rFonts w:ascii="Work Sans" w:eastAsia="Work Sans" w:hAnsi="Work Sans" w:cs="Work Sans"/>
          <w:color w:val="4C4D4E"/>
          <w:sz w:val="24"/>
          <w:szCs w:val="24"/>
        </w:rPr>
        <w:t>i.e</w:t>
      </w:r>
      <w:proofErr w:type="spellEnd"/>
      <w:r>
        <w:rPr>
          <w:rFonts w:ascii="Work Sans" w:eastAsia="Work Sans" w:hAnsi="Work Sans" w:cs="Work Sans"/>
          <w:color w:val="4C4D4E"/>
          <w:sz w:val="24"/>
          <w:szCs w:val="24"/>
        </w:rPr>
        <w:t xml:space="preserve"> all students nationally do the same three tests.</w:t>
      </w:r>
    </w:p>
    <w:p w14:paraId="7518C767" w14:textId="77777777" w:rsidR="00587A7A" w:rsidRDefault="00C92D04">
      <w:pPr>
        <w:numPr>
          <w:ilvl w:val="0"/>
          <w:numId w:val="2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The CAAs will be sat at school, online in a classroom using your own laptop. </w:t>
      </w:r>
      <w:r>
        <w:rPr>
          <w:rFonts w:ascii="Work Sans" w:eastAsia="Work Sans" w:hAnsi="Work Sans" w:cs="Work Sans"/>
          <w:color w:val="FF0000"/>
          <w:sz w:val="24"/>
          <w:szCs w:val="24"/>
        </w:rPr>
        <w:t>You will need an NZQA Learner Login [Please follow the instructions on the next page]</w:t>
      </w:r>
    </w:p>
    <w:p w14:paraId="52A6A7F6" w14:textId="77777777" w:rsidR="00587A7A" w:rsidRDefault="00C92D04">
      <w:pPr>
        <w:numPr>
          <w:ilvl w:val="0"/>
          <w:numId w:val="2"/>
        </w:numPr>
        <w:rPr>
          <w:rFonts w:ascii="Work Sans" w:eastAsia="Work Sans" w:hAnsi="Work Sans" w:cs="Work Sans"/>
        </w:rPr>
      </w:pPr>
      <w:r>
        <w:rPr>
          <w:rFonts w:ascii="Work Sans SemiBold" w:eastAsia="Work Sans SemiBold" w:hAnsi="Work Sans SemiBold" w:cs="Work Sans SemiBold"/>
          <w:color w:val="4C4D4E"/>
          <w:sz w:val="24"/>
          <w:szCs w:val="24"/>
        </w:rPr>
        <w:t>The three assessments will take place on three separate days in Week 9 of Term 2</w:t>
      </w:r>
      <w:r>
        <w:rPr>
          <w:rFonts w:ascii="Work Sans" w:eastAsia="Work Sans" w:hAnsi="Work Sans" w:cs="Work Sans"/>
          <w:color w:val="4C4D4E"/>
          <w:sz w:val="24"/>
          <w:szCs w:val="24"/>
        </w:rPr>
        <w:t>. For example</w:t>
      </w: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, </w:t>
      </w:r>
      <w:proofErr w:type="gramStart"/>
      <w:r>
        <w:rPr>
          <w:rFonts w:ascii="Work Sans" w:eastAsia="Work Sans" w:hAnsi="Work Sans" w:cs="Work Sans"/>
          <w:color w:val="4C4D4E"/>
          <w:sz w:val="24"/>
          <w:szCs w:val="24"/>
        </w:rPr>
        <w:t>Reading</w:t>
      </w:r>
      <w:proofErr w:type="gramEnd"/>
      <w:r>
        <w:rPr>
          <w:rFonts w:ascii="Work Sans" w:eastAsia="Work Sans" w:hAnsi="Work Sans" w:cs="Work Sans"/>
          <w:color w:val="4C4D4E"/>
          <w:sz w:val="24"/>
          <w:szCs w:val="24"/>
        </w:rPr>
        <w:t xml:space="preserve"> on Tuesday, Writing on Wednesday and Numeracy on Thursday. Further detailed information will be provided closer to the time.</w:t>
      </w:r>
    </w:p>
    <w:p w14:paraId="5E8677C9" w14:textId="77777777" w:rsidR="00587A7A" w:rsidRDefault="00C92D04">
      <w:pPr>
        <w:numPr>
          <w:ilvl w:val="0"/>
          <w:numId w:val="2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Each assessment should take approximately 60 minutes. However, if more time is needed, that is </w:t>
      </w:r>
      <w:proofErr w:type="gramStart"/>
      <w:r>
        <w:rPr>
          <w:rFonts w:ascii="Work Sans" w:eastAsia="Work Sans" w:hAnsi="Work Sans" w:cs="Work Sans"/>
          <w:color w:val="4C4D4E"/>
          <w:sz w:val="24"/>
          <w:szCs w:val="24"/>
        </w:rPr>
        <w:t>fine</w:t>
      </w:r>
      <w:proofErr w:type="gramEnd"/>
      <w:r>
        <w:rPr>
          <w:rFonts w:ascii="Work Sans" w:eastAsia="Work Sans" w:hAnsi="Work Sans" w:cs="Work Sans"/>
          <w:color w:val="4C4D4E"/>
          <w:sz w:val="24"/>
          <w:szCs w:val="24"/>
        </w:rPr>
        <w:t xml:space="preserve"> but each assessment m</w:t>
      </w:r>
      <w:r>
        <w:rPr>
          <w:rFonts w:ascii="Work Sans" w:eastAsia="Work Sans" w:hAnsi="Work Sans" w:cs="Work Sans"/>
          <w:color w:val="4C4D4E"/>
          <w:sz w:val="24"/>
          <w:szCs w:val="24"/>
        </w:rPr>
        <w:t>ust be within one sitting and the student must be supervised continuously.</w:t>
      </w:r>
    </w:p>
    <w:p w14:paraId="67AE37AE" w14:textId="77777777" w:rsidR="00587A7A" w:rsidRDefault="00C92D04">
      <w:pPr>
        <w:numPr>
          <w:ilvl w:val="0"/>
          <w:numId w:val="2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>There is no financial cost to sit these standards.</w:t>
      </w:r>
    </w:p>
    <w:p w14:paraId="219AEA00" w14:textId="77777777" w:rsidR="00587A7A" w:rsidRDefault="00C92D04">
      <w:pPr>
        <w:numPr>
          <w:ilvl w:val="0"/>
          <w:numId w:val="2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>For those students who do not pass the standard, there will be a different CAA available in a second opportunity in Week 9 of Term</w:t>
      </w: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 3.</w:t>
      </w:r>
    </w:p>
    <w:p w14:paraId="4F0FC908" w14:textId="77777777" w:rsidR="00587A7A" w:rsidRDefault="00C92D04">
      <w:pPr>
        <w:numPr>
          <w:ilvl w:val="0"/>
          <w:numId w:val="2"/>
        </w:numPr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>If you do not pass the standards during this pilot year, you will have the opportunity to sit the assessment(s) in 2023.</w:t>
      </w:r>
    </w:p>
    <w:p w14:paraId="2BA0193D" w14:textId="77777777" w:rsidR="00587A7A" w:rsidRDefault="00C92D04">
      <w:pPr>
        <w:numPr>
          <w:ilvl w:val="0"/>
          <w:numId w:val="2"/>
        </w:numPr>
        <w:rPr>
          <w:rFonts w:ascii="Work Sans" w:eastAsia="Work Sans" w:hAnsi="Work Sans" w:cs="Work Sans"/>
          <w:color w:val="4C4D4E"/>
          <w:sz w:val="24"/>
          <w:szCs w:val="24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For students who pass these standards this year, they will count towards their NCEA in 2023 </w:t>
      </w:r>
      <w:proofErr w:type="spellStart"/>
      <w:r>
        <w:rPr>
          <w:rFonts w:ascii="Work Sans" w:eastAsia="Work Sans" w:hAnsi="Work Sans" w:cs="Work Sans"/>
          <w:color w:val="4C4D4E"/>
          <w:sz w:val="24"/>
          <w:szCs w:val="24"/>
        </w:rPr>
        <w:t>i.e</w:t>
      </w:r>
      <w:proofErr w:type="spellEnd"/>
      <w:r>
        <w:rPr>
          <w:rFonts w:ascii="Work Sans" w:eastAsia="Work Sans" w:hAnsi="Work Sans" w:cs="Work Sans"/>
          <w:color w:val="4C4D4E"/>
          <w:sz w:val="24"/>
          <w:szCs w:val="24"/>
        </w:rPr>
        <w:t xml:space="preserve"> you won’t have to sit them again.</w:t>
      </w:r>
    </w:p>
    <w:p w14:paraId="37F51120" w14:textId="77777777" w:rsidR="00587A7A" w:rsidRDefault="00C92D04">
      <w:pPr>
        <w:numPr>
          <w:ilvl w:val="0"/>
          <w:numId w:val="4"/>
        </w:numPr>
        <w:spacing w:after="240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color w:val="4C4D4E"/>
          <w:sz w:val="24"/>
          <w:szCs w:val="24"/>
        </w:rPr>
        <w:t>F</w:t>
      </w:r>
      <w:r>
        <w:rPr>
          <w:rFonts w:ascii="Work Sans" w:eastAsia="Work Sans" w:hAnsi="Work Sans" w:cs="Work Sans"/>
          <w:color w:val="4C4D4E"/>
          <w:sz w:val="24"/>
          <w:szCs w:val="24"/>
        </w:rPr>
        <w:t xml:space="preserve">urther information is available at </w:t>
      </w:r>
      <w:hyperlink r:id="rId5">
        <w:r>
          <w:rPr>
            <w:rFonts w:ascii="Work Sans" w:eastAsia="Work Sans" w:hAnsi="Work Sans" w:cs="Work Sans"/>
            <w:color w:val="1155CC"/>
            <w:u w:val="single"/>
          </w:rPr>
          <w:t>https://ncea.education.govt.nz/literacy-and-numeracy/numeracy/learning</w:t>
        </w:r>
      </w:hyperlink>
    </w:p>
    <w:p w14:paraId="4F9EDBE8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FF0000"/>
          <w:sz w:val="24"/>
          <w:szCs w:val="24"/>
          <w:highlight w:val="white"/>
        </w:rPr>
      </w:pPr>
      <w:r>
        <w:rPr>
          <w:rFonts w:ascii="Work Sans SemiBold" w:eastAsia="Work Sans SemiBold" w:hAnsi="Work Sans SemiBold" w:cs="Work Sans SemiBold"/>
          <w:color w:val="FF0000"/>
          <w:sz w:val="26"/>
          <w:szCs w:val="26"/>
          <w:highlight w:val="white"/>
        </w:rPr>
        <w:lastRenderedPageBreak/>
        <w:t xml:space="preserve">Instructions to create an </w:t>
      </w:r>
      <w:r>
        <w:rPr>
          <w:rFonts w:ascii="Work Sans SemiBold" w:eastAsia="Work Sans SemiBold" w:hAnsi="Work Sans SemiBold" w:cs="Work Sans SemiBold"/>
          <w:color w:val="FF0000"/>
          <w:sz w:val="26"/>
          <w:szCs w:val="26"/>
          <w:highlight w:val="white"/>
        </w:rPr>
        <w:t xml:space="preserve">NZQA Learner Login </w:t>
      </w:r>
      <w:proofErr w:type="gramStart"/>
      <w:r>
        <w:rPr>
          <w:rFonts w:ascii="Work Sans SemiBold" w:eastAsia="Work Sans SemiBold" w:hAnsi="Work Sans SemiBold" w:cs="Work Sans SemiBold"/>
          <w:color w:val="FF0000"/>
          <w:sz w:val="26"/>
          <w:szCs w:val="26"/>
          <w:highlight w:val="white"/>
        </w:rPr>
        <w:t>account</w:t>
      </w:r>
      <w:proofErr w:type="gramEnd"/>
    </w:p>
    <w:p w14:paraId="1C67209C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Each student is assigned a unique National Student Number (NSN) by the Ministry of Education when they start school.</w:t>
      </w: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6590A19F" wp14:editId="78953563">
            <wp:simplePos x="0" y="0"/>
            <wp:positionH relativeFrom="column">
              <wp:posOffset>3495675</wp:posOffset>
            </wp:positionH>
            <wp:positionV relativeFrom="paragraph">
              <wp:posOffset>400050</wp:posOffset>
            </wp:positionV>
            <wp:extent cx="2595563" cy="2701670"/>
            <wp:effectExtent l="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2701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5AC588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 xml:space="preserve">To find your NSN, login to the KAMAR app on your phone and in Student Details your NSN is in the seventh </w:t>
      </w:r>
      <w:proofErr w:type="gramStart"/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line</w:t>
      </w:r>
      <w:proofErr w:type="gramEnd"/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 xml:space="preserve"> </w:t>
      </w:r>
    </w:p>
    <w:p w14:paraId="2458C97A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OR</w:t>
      </w:r>
    </w:p>
    <w:p w14:paraId="7D360357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login to the KAMAR portal ​​</w:t>
      </w:r>
      <w:hyperlink r:id="rId7">
        <w:r>
          <w:rPr>
            <w:rFonts w:ascii="Work Sans" w:eastAsia="Work Sans" w:hAnsi="Work Sans" w:cs="Work Sans"/>
            <w:color w:val="1155CC"/>
            <w:sz w:val="24"/>
            <w:szCs w:val="24"/>
            <w:highlight w:val="white"/>
            <w:u w:val="single"/>
          </w:rPr>
          <w:t>https://kamar.otc.school.nz/</w:t>
        </w:r>
      </w:hyperlink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 xml:space="preserve"> and </w:t>
      </w: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select Contact Details then Student Details.</w:t>
      </w:r>
    </w:p>
    <w:p w14:paraId="1C2B1F63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noProof/>
          <w:color w:val="4C4D4E"/>
          <w:sz w:val="24"/>
          <w:szCs w:val="24"/>
          <w:highlight w:val="white"/>
        </w:rPr>
        <w:drawing>
          <wp:inline distT="114300" distB="114300" distL="114300" distR="114300" wp14:anchorId="0F2E14FF" wp14:editId="75E84231">
            <wp:extent cx="3162118" cy="224815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118" cy="224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6A403D8C" wp14:editId="3D86057E">
            <wp:simplePos x="0" y="0"/>
            <wp:positionH relativeFrom="column">
              <wp:posOffset>3495675</wp:posOffset>
            </wp:positionH>
            <wp:positionV relativeFrom="paragraph">
              <wp:posOffset>1466850</wp:posOffset>
            </wp:positionV>
            <wp:extent cx="2828925" cy="4372815"/>
            <wp:effectExtent l="0" t="0" r="0" b="0"/>
            <wp:wrapSquare wrapText="bothSides" distT="57150" distB="57150" distL="57150" distR="5715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37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5FD954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yellow"/>
        </w:rPr>
        <w:t xml:space="preserve">You need your NSN to create your NZQA Learner Login. </w:t>
      </w:r>
    </w:p>
    <w:p w14:paraId="2121467B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Once you have your NSN, you will need to create an NZQA Learner Login account.</w:t>
      </w:r>
    </w:p>
    <w:p w14:paraId="1499A3CB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1155CC"/>
          <w:sz w:val="24"/>
          <w:szCs w:val="24"/>
          <w:highlight w:val="white"/>
          <w:u w:val="singl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 xml:space="preserve">1. Go to </w:t>
      </w:r>
      <w:hyperlink r:id="rId10">
        <w:r>
          <w:rPr>
            <w:rFonts w:ascii="Work Sans" w:eastAsia="Work Sans" w:hAnsi="Work Sans" w:cs="Work Sans"/>
            <w:color w:val="1155CC"/>
            <w:sz w:val="24"/>
            <w:szCs w:val="24"/>
            <w:highlight w:val="white"/>
            <w:u w:val="single"/>
          </w:rPr>
          <w:t>www.nzqa.go</w:t>
        </w:r>
        <w:r>
          <w:rPr>
            <w:rFonts w:ascii="Work Sans" w:eastAsia="Work Sans" w:hAnsi="Work Sans" w:cs="Work Sans"/>
            <w:color w:val="1155CC"/>
            <w:sz w:val="24"/>
            <w:szCs w:val="24"/>
            <w:highlight w:val="white"/>
            <w:u w:val="single"/>
          </w:rPr>
          <w:t>vt.nz/learner-login</w:t>
        </w:r>
      </w:hyperlink>
    </w:p>
    <w:p w14:paraId="652D64AE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2. Click Create account and use your school email address (</w:t>
      </w:r>
      <w:proofErr w:type="spellStart"/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e.g</w:t>
      </w:r>
      <w:proofErr w:type="spellEnd"/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 xml:space="preserve"> namea@stu.otc.school.nz) to create your login details by following the three steps. </w:t>
      </w:r>
    </w:p>
    <w:p w14:paraId="197C616C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If you cannot remember your password or have any iss</w:t>
      </w: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 xml:space="preserve">ues with your account, please phone the </w:t>
      </w:r>
      <w:r>
        <w:rPr>
          <w:rFonts w:ascii="Work Sans SemiBold" w:eastAsia="Work Sans SemiBold" w:hAnsi="Work Sans SemiBold" w:cs="Work Sans SemiBold"/>
          <w:color w:val="4C4D4E"/>
          <w:sz w:val="24"/>
          <w:szCs w:val="24"/>
          <w:highlight w:val="white"/>
        </w:rPr>
        <w:t>NZQA Helpdesk 0800 697 296</w:t>
      </w: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 xml:space="preserve"> for assistance.</w:t>
      </w:r>
    </w:p>
    <w:p w14:paraId="53B22986" w14:textId="77777777" w:rsidR="00587A7A" w:rsidRDefault="00587A7A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</w:p>
    <w:p w14:paraId="74EFE9D8" w14:textId="77777777" w:rsidR="00587A7A" w:rsidRDefault="00C92D04">
      <w:pPr>
        <w:widowControl w:val="0"/>
        <w:spacing w:before="240" w:after="240" w:line="240" w:lineRule="auto"/>
        <w:rPr>
          <w:rFonts w:ascii="Work Sans" w:eastAsia="Work Sans" w:hAnsi="Work Sans" w:cs="Work Sans"/>
          <w:color w:val="4C4D4E"/>
          <w:sz w:val="24"/>
          <w:szCs w:val="24"/>
          <w:highlight w:val="white"/>
        </w:rPr>
      </w:pPr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 xml:space="preserve">You will then use your NZQA Learner Login to access the NZQA website and complete digital exams (like Literacy | Reading, Literacy | Writing and Numeracy). Digital Exam preparation information is available via </w:t>
      </w:r>
      <w:hyperlink r:id="rId11">
        <w:r>
          <w:rPr>
            <w:rFonts w:ascii="Work Sans" w:eastAsia="Work Sans" w:hAnsi="Work Sans" w:cs="Work Sans"/>
            <w:color w:val="1155CC"/>
            <w:sz w:val="24"/>
            <w:szCs w:val="24"/>
            <w:highlight w:val="white"/>
            <w:u w:val="single"/>
          </w:rPr>
          <w:t>this link</w:t>
        </w:r>
      </w:hyperlink>
      <w:r>
        <w:rPr>
          <w:rFonts w:ascii="Work Sans" w:eastAsia="Work Sans" w:hAnsi="Work Sans" w:cs="Work Sans"/>
          <w:color w:val="4C4D4E"/>
          <w:sz w:val="24"/>
          <w:szCs w:val="24"/>
          <w:highlight w:val="white"/>
        </w:rPr>
        <w:t>.</w:t>
      </w:r>
    </w:p>
    <w:p w14:paraId="32EB0073" w14:textId="77777777" w:rsidR="00587A7A" w:rsidRDefault="00C92D04">
      <w:pPr>
        <w:shd w:val="clear" w:color="auto" w:fill="FFFFFF"/>
        <w:spacing w:before="220" w:after="220"/>
        <w:jc w:val="center"/>
        <w:rPr>
          <w:rFonts w:ascii="Work Sans" w:eastAsia="Work Sans" w:hAnsi="Work Sans" w:cs="Work Sans"/>
          <w:color w:val="414042"/>
          <w:sz w:val="24"/>
          <w:szCs w:val="24"/>
          <w:highlight w:val="white"/>
        </w:rPr>
      </w:pPr>
      <w:r>
        <w:rPr>
          <w:rFonts w:ascii="Work Sans" w:eastAsia="Work Sans" w:hAnsi="Work Sans" w:cs="Work Sans"/>
          <w:noProof/>
          <w:color w:val="414042"/>
          <w:sz w:val="24"/>
          <w:szCs w:val="24"/>
        </w:rPr>
        <w:lastRenderedPageBreak/>
        <w:drawing>
          <wp:inline distT="114300" distB="114300" distL="114300" distR="114300" wp14:anchorId="598D8040" wp14:editId="247DEA0C">
            <wp:extent cx="4416263" cy="356768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6263" cy="3567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D14B7" w14:textId="77777777" w:rsidR="00587A7A" w:rsidRDefault="00C92D04">
      <w:pPr>
        <w:shd w:val="clear" w:color="auto" w:fill="FFFFFF"/>
        <w:spacing w:before="220" w:after="220"/>
        <w:jc w:val="center"/>
        <w:rPr>
          <w:rFonts w:ascii="Work Sans" w:eastAsia="Work Sans" w:hAnsi="Work Sans" w:cs="Work Sans"/>
          <w:color w:val="414042"/>
          <w:sz w:val="24"/>
          <w:szCs w:val="24"/>
        </w:rPr>
      </w:pPr>
      <w:r>
        <w:rPr>
          <w:rFonts w:ascii="Work Sans" w:eastAsia="Work Sans" w:hAnsi="Work Sans" w:cs="Work Sans"/>
          <w:noProof/>
          <w:color w:val="414042"/>
          <w:sz w:val="24"/>
          <w:szCs w:val="24"/>
        </w:rPr>
        <w:drawing>
          <wp:inline distT="114300" distB="114300" distL="114300" distR="114300" wp14:anchorId="0D889D30" wp14:editId="4D02F136">
            <wp:extent cx="4235288" cy="5009384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5288" cy="5009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87A7A">
      <w:pgSz w:w="11909" w:h="16834"/>
      <w:pgMar w:top="992" w:right="1440" w:bottom="111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3DBF"/>
    <w:multiLevelType w:val="multilevel"/>
    <w:tmpl w:val="04629BD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C4D4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F31CEC"/>
    <w:multiLevelType w:val="multilevel"/>
    <w:tmpl w:val="8DC67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DC1CE8"/>
    <w:multiLevelType w:val="multilevel"/>
    <w:tmpl w:val="5B8A118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C4D4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9E1F0C"/>
    <w:multiLevelType w:val="multilevel"/>
    <w:tmpl w:val="8FB2416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C4D4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5135911">
    <w:abstractNumId w:val="1"/>
  </w:num>
  <w:num w:numId="2" w16cid:durableId="547884714">
    <w:abstractNumId w:val="0"/>
  </w:num>
  <w:num w:numId="3" w16cid:durableId="1572156459">
    <w:abstractNumId w:val="3"/>
  </w:num>
  <w:num w:numId="4" w16cid:durableId="54746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7A"/>
    <w:rsid w:val="00587A7A"/>
    <w:rsid w:val="00C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4EC9"/>
  <w15:docId w15:val="{103EFEFF-A668-4C75-A5FA-C262B4AC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kamar.otc.school.nz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nzqa.govt.nz/ncea/ncea-exams-and-portfolios/external/digital-exams/" TargetMode="External"/><Relationship Id="rId5" Type="http://schemas.openxmlformats.org/officeDocument/2006/relationships/hyperlink" Target="https://ncea.education.govt.nz/literacy-and-numeracy/numeracy/learn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zqa.govt.nz/learner-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 McKenzie</cp:lastModifiedBy>
  <cp:revision>2</cp:revision>
  <dcterms:created xsi:type="dcterms:W3CDTF">2023-04-06T00:21:00Z</dcterms:created>
  <dcterms:modified xsi:type="dcterms:W3CDTF">2023-04-06T00:21:00Z</dcterms:modified>
</cp:coreProperties>
</file>